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0CC" w:rsidRPr="00DE2550" w:rsidRDefault="00D165A2" w:rsidP="00225B5E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 w:val="28"/>
          <w:szCs w:val="28"/>
        </w:rPr>
      </w:pPr>
      <w:r w:rsidRPr="00DE2550">
        <w:rPr>
          <w:rFonts w:ascii="Times New Roman" w:hAnsi="Times New Roman"/>
          <w:sz w:val="28"/>
          <w:szCs w:val="28"/>
        </w:rPr>
        <w:t>PUC</w:t>
      </w:r>
      <w:r w:rsidR="00F270CC" w:rsidRPr="00DE2550">
        <w:rPr>
          <w:rFonts w:ascii="Times New Roman" w:hAnsi="Times New Roman"/>
          <w:sz w:val="28"/>
          <w:szCs w:val="28"/>
        </w:rPr>
        <w:t xml:space="preserve"> Interoffice Memorandum</w:t>
      </w:r>
    </w:p>
    <w:p w:rsidR="00F270CC" w:rsidRPr="00376ADA" w:rsidRDefault="00F270CC" w:rsidP="00A34267">
      <w:pPr>
        <w:tabs>
          <w:tab w:val="left" w:pos="1440"/>
        </w:tabs>
        <w:jc w:val="both"/>
      </w:pPr>
      <w:r w:rsidRPr="00376ADA">
        <w:rPr>
          <w:b/>
        </w:rPr>
        <w:t>To:</w:t>
      </w:r>
      <w:r w:rsidRPr="00376ADA">
        <w:tab/>
      </w:r>
      <w:r w:rsidR="00567C22">
        <w:t>Richard Nemer</w:t>
      </w:r>
      <w:r w:rsidR="00082990" w:rsidRPr="00376ADA">
        <w:t>, Attorney</w:t>
      </w:r>
    </w:p>
    <w:p w:rsidR="00F270CC" w:rsidRPr="00376ADA" w:rsidRDefault="00D165A2" w:rsidP="00A34267">
      <w:pPr>
        <w:ind w:left="1440"/>
        <w:jc w:val="both"/>
      </w:pPr>
      <w:r w:rsidRPr="00376ADA">
        <w:t>Legal Division</w:t>
      </w:r>
    </w:p>
    <w:p w:rsidR="00F270CC" w:rsidRPr="00376ADA" w:rsidRDefault="00F270CC" w:rsidP="00A34267">
      <w:pPr>
        <w:jc w:val="both"/>
      </w:pPr>
    </w:p>
    <w:p w:rsidR="00FE3124" w:rsidRPr="00376ADA" w:rsidRDefault="00D165A2" w:rsidP="00A34267">
      <w:pPr>
        <w:tabs>
          <w:tab w:val="left" w:pos="1440"/>
        </w:tabs>
        <w:jc w:val="both"/>
        <w:outlineLvl w:val="0"/>
      </w:pPr>
      <w:r w:rsidRPr="00376ADA">
        <w:rPr>
          <w:b/>
        </w:rPr>
        <w:t>Thru</w:t>
      </w:r>
      <w:r w:rsidR="00F270CC" w:rsidRPr="00376ADA">
        <w:rPr>
          <w:b/>
        </w:rPr>
        <w:t>:</w:t>
      </w:r>
      <w:r w:rsidR="00F270CC" w:rsidRPr="00376ADA">
        <w:tab/>
      </w:r>
      <w:r w:rsidR="007D12DE">
        <w:t>Heidi Graham</w:t>
      </w:r>
      <w:r w:rsidR="00FE3124" w:rsidRPr="00376ADA">
        <w:t xml:space="preserve">, </w:t>
      </w:r>
      <w:r w:rsidR="00D71634" w:rsidRPr="00376ADA">
        <w:t>Manager</w:t>
      </w:r>
    </w:p>
    <w:p w:rsidR="00D165A2" w:rsidRPr="00376ADA" w:rsidRDefault="00D165A2" w:rsidP="00A34267">
      <w:pPr>
        <w:ind w:left="1440"/>
        <w:jc w:val="both"/>
      </w:pPr>
      <w:r w:rsidRPr="00376ADA">
        <w:t>Water Utilit</w:t>
      </w:r>
      <w:r w:rsidR="00702D76">
        <w:t>y</w:t>
      </w:r>
      <w:r w:rsidRPr="00376ADA">
        <w:t xml:space="preserve"> </w:t>
      </w:r>
      <w:r w:rsidR="007A031D">
        <w:t xml:space="preserve">Regulation </w:t>
      </w:r>
      <w:r w:rsidR="00EF2279" w:rsidRPr="00376ADA">
        <w:t>Division</w:t>
      </w:r>
    </w:p>
    <w:p w:rsidR="00C37F7D" w:rsidRPr="00376ADA" w:rsidRDefault="00C37F7D" w:rsidP="00DE2550">
      <w:pPr>
        <w:jc w:val="both"/>
      </w:pPr>
    </w:p>
    <w:p w:rsidR="00C37F7D" w:rsidRPr="00376ADA" w:rsidRDefault="00C37F7D" w:rsidP="00C37F7D">
      <w:pPr>
        <w:ind w:left="1440" w:hanging="1440"/>
        <w:jc w:val="both"/>
      </w:pPr>
      <w:r w:rsidRPr="00376ADA">
        <w:rPr>
          <w:b/>
        </w:rPr>
        <w:t>From</w:t>
      </w:r>
      <w:r w:rsidRPr="00376ADA">
        <w:rPr>
          <w:b/>
        </w:rPr>
        <w:tab/>
      </w:r>
      <w:r w:rsidR="007A031D">
        <w:t>Greg Charles</w:t>
      </w:r>
      <w:r w:rsidR="005B110A">
        <w:t>, Engineer</w:t>
      </w:r>
    </w:p>
    <w:p w:rsidR="00C37F7D" w:rsidRPr="00376ADA" w:rsidRDefault="00C37F7D" w:rsidP="00C37F7D">
      <w:pPr>
        <w:ind w:left="1440"/>
        <w:jc w:val="both"/>
      </w:pPr>
      <w:r w:rsidRPr="00376ADA">
        <w:t>Water Utilit</w:t>
      </w:r>
      <w:r w:rsidR="00702D76">
        <w:t>y</w:t>
      </w:r>
      <w:r w:rsidRPr="00376ADA">
        <w:t xml:space="preserve"> </w:t>
      </w:r>
      <w:r w:rsidR="007A031D">
        <w:t xml:space="preserve">Regulation </w:t>
      </w:r>
      <w:r w:rsidRPr="00376ADA">
        <w:t>Division</w:t>
      </w:r>
    </w:p>
    <w:p w:rsidR="0031765B" w:rsidRPr="00376ADA" w:rsidRDefault="0031765B" w:rsidP="00FF7E7B">
      <w:pPr>
        <w:jc w:val="both"/>
      </w:pPr>
    </w:p>
    <w:p w:rsidR="00F270CC" w:rsidRPr="00376ADA" w:rsidRDefault="00F270CC" w:rsidP="00E745DB">
      <w:pPr>
        <w:pStyle w:val="BodyText"/>
        <w:tabs>
          <w:tab w:val="left" w:pos="1440"/>
        </w:tabs>
        <w:spacing w:after="0"/>
        <w:jc w:val="both"/>
        <w:rPr>
          <w:rFonts w:ascii="Times New Roman" w:hAnsi="Times New Roman" w:cs="Times New Roman"/>
        </w:rPr>
      </w:pPr>
      <w:r w:rsidRPr="00376ADA">
        <w:rPr>
          <w:rFonts w:ascii="Times New Roman" w:hAnsi="Times New Roman" w:cs="Times New Roman"/>
          <w:b/>
        </w:rPr>
        <w:t>Date:</w:t>
      </w:r>
      <w:r w:rsidRPr="00376ADA">
        <w:rPr>
          <w:rFonts w:ascii="Times New Roman" w:hAnsi="Times New Roman" w:cs="Times New Roman"/>
          <w:b/>
        </w:rPr>
        <w:tab/>
      </w:r>
      <w:r w:rsidR="00AA1ADB">
        <w:rPr>
          <w:rFonts w:ascii="Times New Roman" w:hAnsi="Times New Roman" w:cs="Times New Roman"/>
        </w:rPr>
        <w:t>January 31,</w:t>
      </w:r>
      <w:r w:rsidR="00E035B3" w:rsidRPr="00AC0319">
        <w:rPr>
          <w:rFonts w:ascii="Times New Roman" w:hAnsi="Times New Roman" w:cs="Times New Roman"/>
        </w:rPr>
        <w:t xml:space="preserve"> 2019</w:t>
      </w:r>
    </w:p>
    <w:p w:rsidR="0031765B" w:rsidRPr="00376ADA" w:rsidRDefault="0031765B" w:rsidP="00FF7E7B">
      <w:pPr>
        <w:jc w:val="both"/>
      </w:pPr>
    </w:p>
    <w:p w:rsidR="00016CF0" w:rsidRPr="00376ADA" w:rsidRDefault="00F270CC" w:rsidP="005B110A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  <w:i/>
        </w:rPr>
      </w:pPr>
      <w:r w:rsidRPr="00376ADA">
        <w:rPr>
          <w:rFonts w:ascii="Times New Roman" w:hAnsi="Times New Roman" w:cs="Times New Roman"/>
          <w:b/>
        </w:rPr>
        <w:t xml:space="preserve">Subject: </w:t>
      </w:r>
      <w:r w:rsidRPr="00376ADA">
        <w:rPr>
          <w:rFonts w:ascii="Times New Roman" w:hAnsi="Times New Roman" w:cs="Times New Roman"/>
          <w:b/>
        </w:rPr>
        <w:tab/>
      </w:r>
      <w:r w:rsidR="009A1D66" w:rsidRPr="00084F91">
        <w:rPr>
          <w:rFonts w:ascii="Times New Roman" w:hAnsi="Times New Roman" w:cs="Times New Roman"/>
          <w:b/>
        </w:rPr>
        <w:t xml:space="preserve">Docket No. </w:t>
      </w:r>
      <w:r w:rsidR="00567C22">
        <w:rPr>
          <w:rFonts w:ascii="Times New Roman" w:hAnsi="Times New Roman" w:cs="Times New Roman"/>
          <w:b/>
        </w:rPr>
        <w:t>48788</w:t>
      </w:r>
      <w:r w:rsidR="009A1D66" w:rsidRPr="00D71634">
        <w:rPr>
          <w:rFonts w:ascii="Times New Roman" w:hAnsi="Times New Roman" w:cs="Times New Roman"/>
        </w:rPr>
        <w:t xml:space="preserve">: </w:t>
      </w:r>
      <w:r w:rsidR="00DE11BD">
        <w:rPr>
          <w:rFonts w:ascii="Times New Roman" w:hAnsi="Times New Roman" w:cs="Times New Roman"/>
          <w:i/>
        </w:rPr>
        <w:t>Petition of TFLP Investments, LP</w:t>
      </w:r>
      <w:r w:rsidR="00DE11BD" w:rsidRPr="000927EE">
        <w:rPr>
          <w:rFonts w:ascii="Times New Roman" w:hAnsi="Times New Roman" w:cs="Times New Roman"/>
          <w:i/>
        </w:rPr>
        <w:t xml:space="preserve"> </w:t>
      </w:r>
      <w:r w:rsidR="00DE11BD">
        <w:rPr>
          <w:rFonts w:ascii="Times New Roman" w:hAnsi="Times New Roman" w:cs="Times New Roman"/>
          <w:i/>
        </w:rPr>
        <w:t xml:space="preserve">and TFGP Properties, LLC </w:t>
      </w:r>
      <w:r w:rsidR="00DE11BD" w:rsidRPr="000927EE">
        <w:rPr>
          <w:rFonts w:ascii="Times New Roman" w:hAnsi="Times New Roman" w:cs="Times New Roman"/>
          <w:i/>
        </w:rPr>
        <w:t xml:space="preserve">to Amend </w:t>
      </w:r>
      <w:r w:rsidR="00DE11BD">
        <w:rPr>
          <w:rFonts w:ascii="Times New Roman" w:hAnsi="Times New Roman" w:cs="Times New Roman"/>
          <w:i/>
          <w:sz w:val="22"/>
          <w:szCs w:val="22"/>
        </w:rPr>
        <w:t>Aqua Texas, Inc.</w:t>
      </w:r>
      <w:r w:rsidR="00DE11BD" w:rsidRPr="000927EE">
        <w:rPr>
          <w:rFonts w:ascii="Times New Roman" w:hAnsi="Times New Roman" w:cs="Times New Roman"/>
          <w:i/>
          <w:sz w:val="22"/>
          <w:szCs w:val="22"/>
        </w:rPr>
        <w:t xml:space="preserve">'s </w:t>
      </w:r>
      <w:r w:rsidR="00DE11BD">
        <w:rPr>
          <w:rFonts w:ascii="Times New Roman" w:hAnsi="Times New Roman" w:cs="Times New Roman"/>
          <w:i/>
        </w:rPr>
        <w:t xml:space="preserve">Sewer </w:t>
      </w:r>
      <w:r w:rsidR="00DE11BD" w:rsidRPr="000927EE">
        <w:rPr>
          <w:rFonts w:ascii="Times New Roman" w:hAnsi="Times New Roman" w:cs="Times New Roman"/>
          <w:i/>
        </w:rPr>
        <w:t>Certificate of Convenience and Necessity</w:t>
      </w:r>
      <w:r w:rsidR="00AC0319">
        <w:rPr>
          <w:rFonts w:ascii="Times New Roman" w:hAnsi="Times New Roman" w:cs="Times New Roman"/>
          <w:i/>
        </w:rPr>
        <w:t xml:space="preserve"> in Hays</w:t>
      </w:r>
      <w:r w:rsidR="00AC0319" w:rsidRPr="000927EE">
        <w:rPr>
          <w:rFonts w:ascii="Times New Roman" w:hAnsi="Times New Roman" w:cs="Times New Roman"/>
          <w:i/>
        </w:rPr>
        <w:t xml:space="preserve"> County</w:t>
      </w:r>
      <w:r w:rsidR="00DE11BD" w:rsidRPr="000927EE">
        <w:rPr>
          <w:rFonts w:ascii="Times New Roman" w:hAnsi="Times New Roman" w:cs="Times New Roman"/>
          <w:i/>
        </w:rPr>
        <w:t xml:space="preserve"> by</w:t>
      </w:r>
      <w:r w:rsidR="007336C8">
        <w:rPr>
          <w:rFonts w:ascii="Times New Roman" w:hAnsi="Times New Roman" w:cs="Times New Roman"/>
          <w:i/>
        </w:rPr>
        <w:t xml:space="preserve"> Expedited Release</w:t>
      </w:r>
    </w:p>
    <w:p w:rsidR="00016CF0" w:rsidRPr="00376ADA" w:rsidRDefault="00016CF0" w:rsidP="00A258C6">
      <w:pPr>
        <w:pStyle w:val="BodyText"/>
        <w:spacing w:after="0"/>
        <w:ind w:left="1440" w:hanging="1440"/>
        <w:jc w:val="both"/>
        <w:rPr>
          <w:rFonts w:ascii="Times New Roman" w:hAnsi="Times New Roman" w:cs="Times New Roman"/>
        </w:rPr>
      </w:pPr>
    </w:p>
    <w:p w:rsidR="00E5566E" w:rsidRPr="00D71634" w:rsidRDefault="00DE11BD" w:rsidP="00E5566E">
      <w:pPr>
        <w:widowControl/>
        <w:jc w:val="both"/>
        <w:rPr>
          <w:rFonts w:eastAsiaTheme="minorHAnsi"/>
        </w:rPr>
      </w:pPr>
      <w:r>
        <w:rPr>
          <w:rFonts w:eastAsiaTheme="minorHAnsi"/>
        </w:rPr>
        <w:t>On October 16, 2018, TFLP Investments, LP</w:t>
      </w:r>
      <w:r w:rsidR="00D10AE4">
        <w:rPr>
          <w:rFonts w:eastAsiaTheme="minorHAnsi"/>
        </w:rPr>
        <w:t>,</w:t>
      </w:r>
      <w:bookmarkStart w:id="0" w:name="_GoBack"/>
      <w:bookmarkEnd w:id="0"/>
      <w:r>
        <w:rPr>
          <w:rFonts w:eastAsiaTheme="minorHAnsi"/>
        </w:rPr>
        <w:t xml:space="preserve"> </w:t>
      </w:r>
      <w:r w:rsidRPr="000927EE">
        <w:rPr>
          <w:rFonts w:eastAsiaTheme="minorHAnsi"/>
        </w:rPr>
        <w:t>filed a petition for expedited releas</w:t>
      </w:r>
      <w:r>
        <w:rPr>
          <w:rFonts w:eastAsiaTheme="minorHAnsi"/>
        </w:rPr>
        <w:t>e from Aqua Texas, Inc.</w:t>
      </w:r>
      <w:r w:rsidRPr="000927EE">
        <w:rPr>
          <w:rFonts w:eastAsiaTheme="minorHAnsi"/>
        </w:rPr>
        <w:t>’s (</w:t>
      </w:r>
      <w:r>
        <w:rPr>
          <w:rFonts w:eastAsiaTheme="minorHAnsi"/>
        </w:rPr>
        <w:t>Aqua Texas) sew</w:t>
      </w:r>
      <w:r w:rsidRPr="000927EE">
        <w:rPr>
          <w:rFonts w:eastAsiaTheme="minorHAnsi"/>
        </w:rPr>
        <w:t>er Certificate of Convenie</w:t>
      </w:r>
      <w:r>
        <w:rPr>
          <w:rFonts w:eastAsiaTheme="minorHAnsi"/>
        </w:rPr>
        <w:t>nce and Necessity (CCN) No.</w:t>
      </w:r>
      <w:r w:rsidR="007336C8">
        <w:rPr>
          <w:rFonts w:eastAsiaTheme="minorHAnsi"/>
        </w:rPr>
        <w:t xml:space="preserve"> </w:t>
      </w:r>
      <w:r>
        <w:rPr>
          <w:rFonts w:eastAsiaTheme="minorHAnsi"/>
        </w:rPr>
        <w:t>20867 in Hays</w:t>
      </w:r>
      <w:r w:rsidRPr="000927EE">
        <w:rPr>
          <w:rFonts w:eastAsiaTheme="minorHAnsi"/>
        </w:rPr>
        <w:t xml:space="preserve"> County, under Texas Water Code (TWC) § 13.254(a-5) and 16 Texas Administrative Code (TAC) §</w:t>
      </w:r>
      <w:r>
        <w:rPr>
          <w:rFonts w:eastAsiaTheme="minorHAnsi"/>
        </w:rPr>
        <w:t xml:space="preserve"> 24.245(l) (formerly</w:t>
      </w:r>
      <w:r w:rsidR="007336C8">
        <w:rPr>
          <w:rFonts w:eastAsiaTheme="minorHAnsi"/>
        </w:rPr>
        <w:t xml:space="preserve"> 16 TAC</w:t>
      </w:r>
      <w:r>
        <w:rPr>
          <w:rFonts w:eastAsiaTheme="minorHAnsi"/>
        </w:rPr>
        <w:t xml:space="preserve"> </w:t>
      </w:r>
      <w:r w:rsidR="007336C8" w:rsidRPr="000927EE">
        <w:rPr>
          <w:rFonts w:eastAsiaTheme="minorHAnsi"/>
        </w:rPr>
        <w:t>§</w:t>
      </w:r>
      <w:r w:rsidR="007336C8">
        <w:rPr>
          <w:rFonts w:eastAsiaTheme="minorHAnsi"/>
        </w:rPr>
        <w:t xml:space="preserve"> </w:t>
      </w:r>
      <w:r>
        <w:rPr>
          <w:rFonts w:eastAsiaTheme="minorHAnsi"/>
        </w:rPr>
        <w:t>24.113</w:t>
      </w:r>
      <w:r w:rsidR="007336C8">
        <w:rPr>
          <w:rFonts w:eastAsiaTheme="minorHAnsi"/>
        </w:rPr>
        <w:t>(l)</w:t>
      </w:r>
      <w:r>
        <w:rPr>
          <w:rFonts w:eastAsiaTheme="minorHAnsi"/>
        </w:rPr>
        <w:t>)</w:t>
      </w:r>
      <w:r w:rsidRPr="000927EE">
        <w:rPr>
          <w:rFonts w:eastAsiaTheme="minorHAnsi"/>
        </w:rPr>
        <w:t xml:space="preserve">. </w:t>
      </w:r>
      <w:r w:rsidR="007336C8">
        <w:rPr>
          <w:rFonts w:eastAsiaTheme="minorHAnsi"/>
        </w:rPr>
        <w:t>On November 14, 2018, TFLP Investments, LP</w:t>
      </w:r>
      <w:r w:rsidR="00C77B6C">
        <w:rPr>
          <w:rFonts w:eastAsiaTheme="minorHAnsi"/>
        </w:rPr>
        <w:t>,</w:t>
      </w:r>
      <w:r w:rsidR="007336C8">
        <w:rPr>
          <w:rFonts w:eastAsiaTheme="minorHAnsi"/>
        </w:rPr>
        <w:t xml:space="preserve"> filed supplemental information, including a request to add TFGP Properties, LLC, as an additional petitioner. TFLP Investments, LP</w:t>
      </w:r>
      <w:r w:rsidR="00C77B6C">
        <w:rPr>
          <w:rFonts w:eastAsiaTheme="minorHAnsi"/>
        </w:rPr>
        <w:t>,</w:t>
      </w:r>
      <w:r w:rsidR="007336C8">
        <w:rPr>
          <w:rFonts w:eastAsiaTheme="minorHAnsi"/>
        </w:rPr>
        <w:t xml:space="preserve"> and </w:t>
      </w:r>
      <w:r w:rsidR="00C77B6C">
        <w:rPr>
          <w:rFonts w:eastAsiaTheme="minorHAnsi"/>
        </w:rPr>
        <w:t>TFGP Properties, LLC</w:t>
      </w:r>
      <w:r w:rsidR="007336C8">
        <w:rPr>
          <w:rFonts w:eastAsiaTheme="minorHAnsi"/>
        </w:rPr>
        <w:t xml:space="preserve"> (collectively, Petitioners),</w:t>
      </w:r>
      <w:r>
        <w:rPr>
          <w:rFonts w:eastAsiaTheme="minorHAnsi"/>
        </w:rPr>
        <w:t xml:space="preserve"> assert</w:t>
      </w:r>
      <w:r w:rsidRPr="000927EE">
        <w:rPr>
          <w:rFonts w:eastAsiaTheme="minorHAnsi"/>
        </w:rPr>
        <w:t xml:space="preserve"> that the land is at lea</w:t>
      </w:r>
      <w:r>
        <w:rPr>
          <w:rFonts w:eastAsiaTheme="minorHAnsi"/>
        </w:rPr>
        <w:t>st 25 acres, is not receiving sew</w:t>
      </w:r>
      <w:r w:rsidRPr="000927EE">
        <w:rPr>
          <w:rFonts w:eastAsiaTheme="minorHAnsi"/>
        </w:rPr>
        <w:t>er servi</w:t>
      </w:r>
      <w:r>
        <w:rPr>
          <w:rFonts w:eastAsiaTheme="minorHAnsi"/>
        </w:rPr>
        <w:t>ce, and is located in Hays</w:t>
      </w:r>
      <w:r w:rsidRPr="000927EE">
        <w:rPr>
          <w:rFonts w:eastAsiaTheme="minorHAnsi"/>
        </w:rPr>
        <w:t xml:space="preserve"> County</w:t>
      </w:r>
      <w:r w:rsidR="007336C8">
        <w:rPr>
          <w:rFonts w:eastAsiaTheme="minorHAnsi"/>
        </w:rPr>
        <w:t>,</w:t>
      </w:r>
      <w:r w:rsidRPr="000927EE">
        <w:rPr>
          <w:rFonts w:eastAsiaTheme="minorHAnsi"/>
        </w:rPr>
        <w:t xml:space="preserve"> which is a qualifying county.</w:t>
      </w:r>
      <w:r w:rsidR="00E5566E" w:rsidRPr="00D71634">
        <w:rPr>
          <w:rFonts w:eastAsiaTheme="minorHAnsi"/>
        </w:rPr>
        <w:t xml:space="preserve">  </w:t>
      </w:r>
    </w:p>
    <w:p w:rsidR="00E5566E" w:rsidRPr="00D71634" w:rsidRDefault="00E5566E" w:rsidP="00E5566E">
      <w:pPr>
        <w:widowControl/>
        <w:autoSpaceDE/>
        <w:autoSpaceDN/>
        <w:adjustRightInd/>
        <w:jc w:val="both"/>
        <w:rPr>
          <w:strike/>
        </w:rPr>
      </w:pPr>
    </w:p>
    <w:p w:rsidR="00F3611B" w:rsidRDefault="00DE11BD" w:rsidP="0074321A">
      <w:pPr>
        <w:widowControl/>
        <w:jc w:val="both"/>
        <w:rPr>
          <w:rFonts w:eastAsiaTheme="minorHAnsi"/>
        </w:rPr>
      </w:pPr>
      <w:r w:rsidRPr="0054132F">
        <w:t>The Petitioner</w:t>
      </w:r>
      <w:r>
        <w:t>s</w:t>
      </w:r>
      <w:r w:rsidRPr="0054132F">
        <w:t xml:space="preserve"> submitted </w:t>
      </w:r>
      <w:r>
        <w:t>an adequate map</w:t>
      </w:r>
      <w:r w:rsidRPr="0054132F">
        <w:t xml:space="preserve"> delineating the requested</w:t>
      </w:r>
      <w:r w:rsidRPr="0054132F" w:rsidDel="00BE7365">
        <w:t xml:space="preserve"> </w:t>
      </w:r>
      <w:r w:rsidRPr="0054132F">
        <w:t xml:space="preserve">area for expedited release with enough detail to confirm the accurate positioning of their digital data pursuant to </w:t>
      </w:r>
      <w:r>
        <w:rPr>
          <w:rFonts w:eastAsiaTheme="minorHAnsi"/>
        </w:rPr>
        <w:t xml:space="preserve">16 TAC § 24.257 (formerly </w:t>
      </w:r>
      <w:r w:rsidR="007336C8">
        <w:rPr>
          <w:rFonts w:eastAsiaTheme="minorHAnsi"/>
        </w:rPr>
        <w:t xml:space="preserve">16 TAC § </w:t>
      </w:r>
      <w:r>
        <w:rPr>
          <w:rFonts w:eastAsiaTheme="minorHAnsi"/>
        </w:rPr>
        <w:t>24.119)</w:t>
      </w:r>
      <w:r w:rsidRPr="0054132F">
        <w:t>.  The map and digital data are sufficient for determining the locatio</w:t>
      </w:r>
      <w:r>
        <w:t>n of the requested release area</w:t>
      </w:r>
      <w:r w:rsidRPr="0054132F">
        <w:t xml:space="preserve"> within </w:t>
      </w:r>
      <w:r>
        <w:rPr>
          <w:rFonts w:eastAsiaTheme="minorHAnsi"/>
        </w:rPr>
        <w:t>Aqua Texas’</w:t>
      </w:r>
      <w:r w:rsidRPr="0054132F">
        <w:rPr>
          <w:rFonts w:eastAsiaTheme="minorHAnsi"/>
        </w:rPr>
        <w:t xml:space="preserve"> </w:t>
      </w:r>
      <w:r w:rsidRPr="0054132F">
        <w:t xml:space="preserve">certificated area. Mapping </w:t>
      </w:r>
      <w:r w:rsidRPr="0054132F">
        <w:rPr>
          <w:rFonts w:eastAsiaTheme="minorHAnsi"/>
        </w:rPr>
        <w:t>Staff w</w:t>
      </w:r>
      <w:r>
        <w:rPr>
          <w:rFonts w:eastAsiaTheme="minorHAnsi"/>
        </w:rPr>
        <w:t>as</w:t>
      </w:r>
      <w:r w:rsidRPr="0054132F">
        <w:rPr>
          <w:rFonts w:eastAsiaTheme="minorHAnsi"/>
        </w:rPr>
        <w:t xml:space="preserve"> able to confirm the acreage of the subject </w:t>
      </w:r>
      <w:r w:rsidR="00783D99" w:rsidRPr="0054132F">
        <w:rPr>
          <w:rFonts w:eastAsiaTheme="minorHAnsi"/>
        </w:rPr>
        <w:t>propert</w:t>
      </w:r>
      <w:r w:rsidR="00783D99">
        <w:rPr>
          <w:rFonts w:eastAsiaTheme="minorHAnsi"/>
        </w:rPr>
        <w:t>y</w:t>
      </w:r>
      <w:r w:rsidRPr="0054132F">
        <w:rPr>
          <w:rFonts w:eastAsiaTheme="minorHAnsi"/>
        </w:rPr>
        <w:t>, and</w:t>
      </w:r>
      <w:r w:rsidRPr="0054132F">
        <w:t xml:space="preserve"> </w:t>
      </w:r>
      <w:r w:rsidRPr="0054132F">
        <w:rPr>
          <w:rFonts w:eastAsiaTheme="minorHAnsi"/>
        </w:rPr>
        <w:t>det</w:t>
      </w:r>
      <w:r>
        <w:rPr>
          <w:rFonts w:eastAsiaTheme="minorHAnsi"/>
        </w:rPr>
        <w:t>ermined that the requested area is</w:t>
      </w:r>
      <w:r w:rsidRPr="0054132F">
        <w:rPr>
          <w:rFonts w:eastAsiaTheme="minorHAnsi"/>
        </w:rPr>
        <w:t xml:space="preserve"> l</w:t>
      </w:r>
      <w:r w:rsidR="00C3211C">
        <w:rPr>
          <w:rFonts w:eastAsiaTheme="minorHAnsi"/>
        </w:rPr>
        <w:t>ocated within Aqua Texas’ sewer CCN</w:t>
      </w:r>
      <w:r>
        <w:rPr>
          <w:rFonts w:eastAsiaTheme="minorHAnsi"/>
        </w:rPr>
        <w:t>. Furthermore, the Petitioners</w:t>
      </w:r>
      <w:r w:rsidRPr="0054132F">
        <w:rPr>
          <w:rFonts w:eastAsiaTheme="minorHAnsi"/>
        </w:rPr>
        <w:t xml:space="preserve"> provided warranty</w:t>
      </w:r>
      <w:r>
        <w:rPr>
          <w:rFonts w:eastAsiaTheme="minorHAnsi"/>
        </w:rPr>
        <w:t xml:space="preserve"> deeds confirming the Petitioners</w:t>
      </w:r>
      <w:r w:rsidRPr="0054132F">
        <w:rPr>
          <w:rFonts w:eastAsiaTheme="minorHAnsi"/>
        </w:rPr>
        <w:t>’</w:t>
      </w:r>
      <w:r>
        <w:rPr>
          <w:rFonts w:eastAsiaTheme="minorHAnsi"/>
        </w:rPr>
        <w:t xml:space="preserve"> ownership of the tract</w:t>
      </w:r>
      <w:r w:rsidRPr="0054132F">
        <w:rPr>
          <w:rFonts w:eastAsiaTheme="minorHAnsi"/>
        </w:rPr>
        <w:t xml:space="preserve"> of </w:t>
      </w:r>
      <w:r w:rsidR="00C3211C">
        <w:rPr>
          <w:rFonts w:eastAsiaTheme="minorHAnsi"/>
        </w:rPr>
        <w:t>land within Aqua Texas’ certificated area</w:t>
      </w:r>
      <w:r w:rsidRPr="0054132F">
        <w:rPr>
          <w:rFonts w:eastAsiaTheme="minorHAnsi"/>
        </w:rPr>
        <w:t>.</w:t>
      </w:r>
      <w:r w:rsidR="00C3211C">
        <w:rPr>
          <w:rFonts w:eastAsiaTheme="minorHAnsi"/>
        </w:rPr>
        <w:t xml:space="preserve"> In addition, the Petitioners submitted a notarized affidavit attesting that the property was not receiving sewer service from the CCN holder. The area requested for expedited release is approximately 38 acres.</w:t>
      </w:r>
      <w:r w:rsidR="00F3611B">
        <w:rPr>
          <w:rFonts w:eastAsiaTheme="minorHAnsi"/>
        </w:rPr>
        <w:t xml:space="preserve"> </w:t>
      </w:r>
    </w:p>
    <w:p w:rsidR="002D3A2D" w:rsidRPr="001D167C" w:rsidRDefault="002D3A2D" w:rsidP="0074321A">
      <w:pPr>
        <w:widowControl/>
        <w:jc w:val="both"/>
        <w:rPr>
          <w:sz w:val="16"/>
          <w:szCs w:val="16"/>
        </w:rPr>
      </w:pPr>
    </w:p>
    <w:p w:rsidR="0059544C" w:rsidRDefault="00783D99" w:rsidP="0059544C">
      <w:pPr>
        <w:jc w:val="both"/>
      </w:pPr>
      <w:r w:rsidRPr="001A601E">
        <w:t>Aqua Texas did not request to intervene.</w:t>
      </w:r>
      <w:r>
        <w:t xml:space="preserve"> Therefore, in accordance with 16 TAC </w:t>
      </w:r>
      <w:r>
        <w:rPr>
          <w:rFonts w:eastAsiaTheme="minorHAnsi"/>
        </w:rPr>
        <w:t>§ 24.245(n</w:t>
      </w:r>
      <w:proofErr w:type="gramStart"/>
      <w:r>
        <w:rPr>
          <w:rFonts w:eastAsiaTheme="minorHAnsi"/>
        </w:rPr>
        <w:t>)(</w:t>
      </w:r>
      <w:proofErr w:type="gramEnd"/>
      <w:r>
        <w:rPr>
          <w:rFonts w:eastAsiaTheme="minorHAnsi"/>
        </w:rPr>
        <w:t xml:space="preserve">3) (formerly 16 TAC § 24.113(n)(3)), </w:t>
      </w:r>
      <w:r w:rsidR="0059544C">
        <w:t>Staff recommends that there is no useless or valueless pro</w:t>
      </w:r>
      <w:r w:rsidR="00FE7CD7">
        <w:t>perty</w:t>
      </w:r>
      <w:r w:rsidR="000C4210">
        <w:t>.</w:t>
      </w:r>
      <w:r w:rsidR="0059544C">
        <w:t xml:space="preserve"> </w:t>
      </w:r>
      <w:r w:rsidR="000C4210">
        <w:t xml:space="preserve">If </w:t>
      </w:r>
      <w:r w:rsidR="0059544C">
        <w:t>the Commission determines that there is no useless or valuel</w:t>
      </w:r>
      <w:r w:rsidR="00FE7CD7">
        <w:t xml:space="preserve">ess property, pursuant to </w:t>
      </w:r>
      <w:r w:rsidR="001A601E">
        <w:rPr>
          <w:rFonts w:eastAsiaTheme="minorHAnsi"/>
        </w:rPr>
        <w:t xml:space="preserve">16 TAC § </w:t>
      </w:r>
      <w:r w:rsidR="00FE7CD7">
        <w:t>24.245</w:t>
      </w:r>
      <w:r w:rsidR="0059544C">
        <w:t>(n</w:t>
      </w:r>
      <w:proofErr w:type="gramStart"/>
      <w:r w:rsidR="0059544C">
        <w:t>)(</w:t>
      </w:r>
      <w:proofErr w:type="gramEnd"/>
      <w:r w:rsidR="0059544C">
        <w:t>7)</w:t>
      </w:r>
      <w:r w:rsidR="000C4210">
        <w:t xml:space="preserve"> (formerly 16 TAC </w:t>
      </w:r>
      <w:r w:rsidR="000C4210">
        <w:rPr>
          <w:rFonts w:eastAsiaTheme="minorHAnsi"/>
        </w:rPr>
        <w:t>§ 24.113(n)(7), Staff further recommends that a compensation proceeding is not necessary.</w:t>
      </w:r>
      <w:r w:rsidR="0059544C">
        <w:t xml:space="preserve"> </w:t>
      </w:r>
    </w:p>
    <w:p w:rsidR="001A601E" w:rsidRDefault="001A601E" w:rsidP="002D3A2D">
      <w:pPr>
        <w:jc w:val="both"/>
      </w:pPr>
    </w:p>
    <w:p w:rsidR="00776E91" w:rsidRDefault="001A601E" w:rsidP="002D3A2D">
      <w:pPr>
        <w:jc w:val="both"/>
      </w:pPr>
      <w:r>
        <w:t>In accordance with TWC</w:t>
      </w:r>
      <w:r w:rsidR="002D3A2D" w:rsidRPr="002D3A2D">
        <w:t xml:space="preserve"> </w:t>
      </w:r>
      <w:r w:rsidR="000C4210" w:rsidRPr="000927EE">
        <w:rPr>
          <w:rFonts w:eastAsiaTheme="minorHAnsi"/>
        </w:rPr>
        <w:t>§ 13.254(a-5)</w:t>
      </w:r>
      <w:r w:rsidR="000C4210">
        <w:rPr>
          <w:rFonts w:eastAsiaTheme="minorHAnsi"/>
        </w:rPr>
        <w:t xml:space="preserve"> </w:t>
      </w:r>
      <w:r w:rsidR="002D3A2D" w:rsidRPr="002D3A2D">
        <w:t>and 16 TAC</w:t>
      </w:r>
      <w:r>
        <w:t xml:space="preserve"> § 24.245</w:t>
      </w:r>
      <w:r w:rsidR="000C4210">
        <w:t>(l)</w:t>
      </w:r>
      <w:r w:rsidR="002D3A2D" w:rsidRPr="002D3A2D">
        <w:t>, the Petitioner</w:t>
      </w:r>
      <w:r w:rsidR="00F3611B">
        <w:t>s</w:t>
      </w:r>
      <w:r w:rsidR="002D3A2D" w:rsidRPr="002D3A2D">
        <w:t xml:space="preserve"> </w:t>
      </w:r>
      <w:r w:rsidR="00D21B5A" w:rsidRPr="002D3A2D">
        <w:t>ha</w:t>
      </w:r>
      <w:r w:rsidR="00F3611B">
        <w:t>ve</w:t>
      </w:r>
      <w:r w:rsidR="00D21B5A" w:rsidRPr="002D3A2D">
        <w:t xml:space="preserve"> </w:t>
      </w:r>
      <w:r w:rsidR="002D3A2D" w:rsidRPr="002D3A2D">
        <w:t>met the Commission’s requirements to allow for the release</w:t>
      </w:r>
      <w:r w:rsidR="00E62F4D">
        <w:t xml:space="preserve"> of</w:t>
      </w:r>
      <w:r w:rsidR="00CD1C69">
        <w:t xml:space="preserve"> th</w:t>
      </w:r>
      <w:r w:rsidR="00FE7CD7">
        <w:t>e r</w:t>
      </w:r>
      <w:r w:rsidR="00EF21E4">
        <w:t>equested area from Aqua Texas</w:t>
      </w:r>
      <w:r w:rsidR="00E62F4D">
        <w:t>’s</w:t>
      </w:r>
      <w:r w:rsidR="00CC094F">
        <w:t xml:space="preserve"> </w:t>
      </w:r>
      <w:r w:rsidR="00EF21E4">
        <w:t>CCN No. 20867</w:t>
      </w:r>
      <w:r w:rsidR="002D3A2D" w:rsidRPr="002D3A2D">
        <w:t xml:space="preserve">. </w:t>
      </w:r>
      <w:r w:rsidR="002D3A2D">
        <w:t xml:space="preserve"> </w:t>
      </w:r>
      <w:r w:rsidR="002D3A2D" w:rsidRPr="002D3A2D">
        <w:t>Therefore, Staff recommends approval of the petition.  Enclosed is a final map and certificate for Commission approval.</w:t>
      </w:r>
      <w:r w:rsidR="00C3211C">
        <w:t xml:space="preserve"> </w:t>
      </w:r>
    </w:p>
    <w:p w:rsidR="00776E91" w:rsidRDefault="00776E91" w:rsidP="002D3A2D">
      <w:pPr>
        <w:jc w:val="both"/>
      </w:pPr>
    </w:p>
    <w:p w:rsidR="00776E91" w:rsidRPr="005D41FF" w:rsidRDefault="000C4210" w:rsidP="00B61220">
      <w:pPr>
        <w:jc w:val="both"/>
      </w:pPr>
      <w:r>
        <w:rPr>
          <w:rFonts w:eastAsia="Calibri"/>
        </w:rPr>
        <w:t xml:space="preserve">Additionally, </w:t>
      </w:r>
      <w:r w:rsidR="00776E91" w:rsidRPr="004048C0">
        <w:rPr>
          <w:rFonts w:eastAsia="Calibri"/>
        </w:rPr>
        <w:t xml:space="preserve">Staff recommends </w:t>
      </w:r>
      <w:r w:rsidR="00776E91">
        <w:rPr>
          <w:rFonts w:eastAsia="Calibri"/>
        </w:rPr>
        <w:t>that a</w:t>
      </w:r>
      <w:r w:rsidR="00C3211C">
        <w:t xml:space="preserve"> final map</w:t>
      </w:r>
      <w:r>
        <w:t xml:space="preserve"> and certificate</w:t>
      </w:r>
      <w:r w:rsidR="00C3211C">
        <w:t xml:space="preserve"> be provided to </w:t>
      </w:r>
      <w:r w:rsidR="00776E91">
        <w:t>the CCN holder</w:t>
      </w:r>
      <w:r>
        <w:t>.</w:t>
      </w:r>
      <w:r w:rsidR="00776E91">
        <w:t xml:space="preserve"> </w:t>
      </w:r>
      <w:r>
        <w:t>Pursuant to TWC §</w:t>
      </w:r>
      <w:r w:rsidRPr="004048C0">
        <w:t xml:space="preserve"> 13.257 (r)-(s)</w:t>
      </w:r>
      <w:r>
        <w:t xml:space="preserve">, Staff further recommends </w:t>
      </w:r>
      <w:r w:rsidR="00776E91" w:rsidRPr="004048C0">
        <w:rPr>
          <w:rFonts w:eastAsia="Calibri"/>
        </w:rPr>
        <w:t xml:space="preserve">that </w:t>
      </w:r>
      <w:r w:rsidR="00776E91">
        <w:rPr>
          <w:rFonts w:eastAsia="Calibri"/>
        </w:rPr>
        <w:t>Aqua Texas</w:t>
      </w:r>
      <w:r w:rsidR="00776E91" w:rsidRPr="004048C0">
        <w:rPr>
          <w:rFonts w:eastAsia="Calibri"/>
        </w:rPr>
        <w:t xml:space="preserve"> </w:t>
      </w:r>
      <w:r w:rsidR="00776E91" w:rsidRPr="004048C0">
        <w:t xml:space="preserve">file </w:t>
      </w:r>
      <w:r>
        <w:t xml:space="preserve">the following information in the Hays County Clerk’s office: (1) a </w:t>
      </w:r>
      <w:r w:rsidR="00776E91" w:rsidRPr="004048C0">
        <w:t>certified cop</w:t>
      </w:r>
      <w:r>
        <w:t>y</w:t>
      </w:r>
      <w:r w:rsidR="00776E91" w:rsidRPr="004048C0">
        <w:t xml:space="preserve"> of the </w:t>
      </w:r>
      <w:r>
        <w:t xml:space="preserve">CCN </w:t>
      </w:r>
      <w:r w:rsidR="00776E91" w:rsidRPr="004048C0">
        <w:t>map</w:t>
      </w:r>
      <w:r>
        <w:t>; (2) a certified copy of the amended certificate; and (3) a boundary description of the CCN service area.</w:t>
      </w:r>
    </w:p>
    <w:p w:rsidR="00776E91" w:rsidRDefault="00776E91" w:rsidP="00B61220">
      <w:pPr>
        <w:widowControl/>
        <w:jc w:val="both"/>
      </w:pPr>
    </w:p>
    <w:p w:rsidR="00776E91" w:rsidRPr="005A3673" w:rsidRDefault="00776E91" w:rsidP="002D3A2D">
      <w:pPr>
        <w:jc w:val="both"/>
      </w:pPr>
    </w:p>
    <w:sectPr w:rsidR="00776E91" w:rsidRPr="005A3673" w:rsidSect="001D167C">
      <w:type w:val="continuous"/>
      <w:pgSz w:w="12240" w:h="15840"/>
      <w:pgMar w:top="432" w:right="1440" w:bottom="432" w:left="1440" w:header="720" w:footer="720" w:gutter="0"/>
      <w:cols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54704"/>
    <w:multiLevelType w:val="hybridMultilevel"/>
    <w:tmpl w:val="038A196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C73A79"/>
    <w:multiLevelType w:val="hybridMultilevel"/>
    <w:tmpl w:val="BE8C9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495002"/>
    <w:multiLevelType w:val="hybridMultilevel"/>
    <w:tmpl w:val="49B6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A4704"/>
    <w:multiLevelType w:val="hybridMultilevel"/>
    <w:tmpl w:val="6D827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222889"/>
    <w:multiLevelType w:val="hybridMultilevel"/>
    <w:tmpl w:val="709A3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510F48"/>
    <w:multiLevelType w:val="hybridMultilevel"/>
    <w:tmpl w:val="C91A92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8"/>
  </w:num>
  <w:num w:numId="10">
    <w:abstractNumId w:val="15"/>
  </w:num>
  <w:num w:numId="11">
    <w:abstractNumId w:val="14"/>
  </w:num>
  <w:num w:numId="12">
    <w:abstractNumId w:val="7"/>
  </w:num>
  <w:num w:numId="13">
    <w:abstractNumId w:val="9"/>
  </w:num>
  <w:num w:numId="14">
    <w:abstractNumId w:val="8"/>
  </w:num>
  <w:num w:numId="15">
    <w:abstractNumId w:val="13"/>
  </w:num>
  <w:num w:numId="16">
    <w:abstractNumId w:val="16"/>
  </w:num>
  <w:num w:numId="17">
    <w:abstractNumId w:val="12"/>
  </w:num>
  <w:num w:numId="18">
    <w:abstractNumId w:val="11"/>
  </w:num>
  <w:num w:numId="19">
    <w:abstractNumId w:val="10"/>
  </w:num>
  <w:num w:numId="2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BodyText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CC"/>
    <w:rsid w:val="00016CF0"/>
    <w:rsid w:val="00033C83"/>
    <w:rsid w:val="000358C1"/>
    <w:rsid w:val="00051B7F"/>
    <w:rsid w:val="00055201"/>
    <w:rsid w:val="00070481"/>
    <w:rsid w:val="00071549"/>
    <w:rsid w:val="000808BC"/>
    <w:rsid w:val="00082990"/>
    <w:rsid w:val="00087DBA"/>
    <w:rsid w:val="00093058"/>
    <w:rsid w:val="00094694"/>
    <w:rsid w:val="000A6E59"/>
    <w:rsid w:val="000A7D8B"/>
    <w:rsid w:val="000C00A6"/>
    <w:rsid w:val="000C4210"/>
    <w:rsid w:val="000E2DC8"/>
    <w:rsid w:val="000E7495"/>
    <w:rsid w:val="000F3F37"/>
    <w:rsid w:val="000F71B6"/>
    <w:rsid w:val="000F7F3A"/>
    <w:rsid w:val="00100C46"/>
    <w:rsid w:val="00116413"/>
    <w:rsid w:val="00146C05"/>
    <w:rsid w:val="001472A1"/>
    <w:rsid w:val="00154DBA"/>
    <w:rsid w:val="001577AC"/>
    <w:rsid w:val="00187E75"/>
    <w:rsid w:val="001A601E"/>
    <w:rsid w:val="001A7841"/>
    <w:rsid w:val="001B2CBD"/>
    <w:rsid w:val="001C1FB4"/>
    <w:rsid w:val="001D167C"/>
    <w:rsid w:val="001F468C"/>
    <w:rsid w:val="002054DF"/>
    <w:rsid w:val="00211593"/>
    <w:rsid w:val="00214E47"/>
    <w:rsid w:val="00216A02"/>
    <w:rsid w:val="002204DA"/>
    <w:rsid w:val="00225B5E"/>
    <w:rsid w:val="00235507"/>
    <w:rsid w:val="002451F2"/>
    <w:rsid w:val="00250674"/>
    <w:rsid w:val="00253A2B"/>
    <w:rsid w:val="00261265"/>
    <w:rsid w:val="002643F5"/>
    <w:rsid w:val="00264618"/>
    <w:rsid w:val="00267310"/>
    <w:rsid w:val="002677C4"/>
    <w:rsid w:val="00276705"/>
    <w:rsid w:val="00297471"/>
    <w:rsid w:val="00297D38"/>
    <w:rsid w:val="002B4156"/>
    <w:rsid w:val="002C7D33"/>
    <w:rsid w:val="002D1B6F"/>
    <w:rsid w:val="002D3A2D"/>
    <w:rsid w:val="002D4E2D"/>
    <w:rsid w:val="002D7195"/>
    <w:rsid w:val="0031765B"/>
    <w:rsid w:val="003223D6"/>
    <w:rsid w:val="00340D98"/>
    <w:rsid w:val="00351FD0"/>
    <w:rsid w:val="00352D65"/>
    <w:rsid w:val="00374241"/>
    <w:rsid w:val="00374F81"/>
    <w:rsid w:val="00376ADA"/>
    <w:rsid w:val="00393C75"/>
    <w:rsid w:val="003B41DF"/>
    <w:rsid w:val="003C10FB"/>
    <w:rsid w:val="003D00F1"/>
    <w:rsid w:val="003E578B"/>
    <w:rsid w:val="003E652B"/>
    <w:rsid w:val="003F0F75"/>
    <w:rsid w:val="003F5ABB"/>
    <w:rsid w:val="00405C6B"/>
    <w:rsid w:val="00427D91"/>
    <w:rsid w:val="00430888"/>
    <w:rsid w:val="0043327C"/>
    <w:rsid w:val="00434BA6"/>
    <w:rsid w:val="00451E10"/>
    <w:rsid w:val="004608D3"/>
    <w:rsid w:val="0046518D"/>
    <w:rsid w:val="00467CA5"/>
    <w:rsid w:val="004709C5"/>
    <w:rsid w:val="00471342"/>
    <w:rsid w:val="004946B1"/>
    <w:rsid w:val="004975B0"/>
    <w:rsid w:val="004A0250"/>
    <w:rsid w:val="004A4E81"/>
    <w:rsid w:val="004B0A26"/>
    <w:rsid w:val="004B7E05"/>
    <w:rsid w:val="004C2F7F"/>
    <w:rsid w:val="004C344D"/>
    <w:rsid w:val="004C54B2"/>
    <w:rsid w:val="004D12AC"/>
    <w:rsid w:val="004D277B"/>
    <w:rsid w:val="004D2CA6"/>
    <w:rsid w:val="004D5DEE"/>
    <w:rsid w:val="004E04AE"/>
    <w:rsid w:val="004F676C"/>
    <w:rsid w:val="00503E5E"/>
    <w:rsid w:val="00520628"/>
    <w:rsid w:val="0052584F"/>
    <w:rsid w:val="00527529"/>
    <w:rsid w:val="005464F5"/>
    <w:rsid w:val="0055212A"/>
    <w:rsid w:val="00555892"/>
    <w:rsid w:val="00566313"/>
    <w:rsid w:val="00567C22"/>
    <w:rsid w:val="005810B7"/>
    <w:rsid w:val="00587D86"/>
    <w:rsid w:val="0059544C"/>
    <w:rsid w:val="005A739F"/>
    <w:rsid w:val="005B110A"/>
    <w:rsid w:val="005B2A69"/>
    <w:rsid w:val="005D3EDE"/>
    <w:rsid w:val="005F337F"/>
    <w:rsid w:val="005F5034"/>
    <w:rsid w:val="006017BB"/>
    <w:rsid w:val="006044E1"/>
    <w:rsid w:val="00620819"/>
    <w:rsid w:val="00623C97"/>
    <w:rsid w:val="0064197C"/>
    <w:rsid w:val="00647808"/>
    <w:rsid w:val="0065525B"/>
    <w:rsid w:val="00671217"/>
    <w:rsid w:val="006730D8"/>
    <w:rsid w:val="006829DF"/>
    <w:rsid w:val="006908A9"/>
    <w:rsid w:val="006C3496"/>
    <w:rsid w:val="006C393F"/>
    <w:rsid w:val="006C5736"/>
    <w:rsid w:val="006C69D7"/>
    <w:rsid w:val="006C6CEB"/>
    <w:rsid w:val="00701340"/>
    <w:rsid w:val="00702D76"/>
    <w:rsid w:val="0072249E"/>
    <w:rsid w:val="00726BCC"/>
    <w:rsid w:val="00727F1C"/>
    <w:rsid w:val="00732647"/>
    <w:rsid w:val="007336C8"/>
    <w:rsid w:val="00735252"/>
    <w:rsid w:val="00742040"/>
    <w:rsid w:val="0074321A"/>
    <w:rsid w:val="00746472"/>
    <w:rsid w:val="00747C96"/>
    <w:rsid w:val="007502E6"/>
    <w:rsid w:val="0075745D"/>
    <w:rsid w:val="00766925"/>
    <w:rsid w:val="0077465C"/>
    <w:rsid w:val="00776E91"/>
    <w:rsid w:val="00777544"/>
    <w:rsid w:val="00783D99"/>
    <w:rsid w:val="00787783"/>
    <w:rsid w:val="007914BE"/>
    <w:rsid w:val="007A031D"/>
    <w:rsid w:val="007A0B93"/>
    <w:rsid w:val="007A248B"/>
    <w:rsid w:val="007B7653"/>
    <w:rsid w:val="007C18CB"/>
    <w:rsid w:val="007D12DE"/>
    <w:rsid w:val="007D1652"/>
    <w:rsid w:val="007D1A3D"/>
    <w:rsid w:val="007E789E"/>
    <w:rsid w:val="007F1D92"/>
    <w:rsid w:val="0080148A"/>
    <w:rsid w:val="00820754"/>
    <w:rsid w:val="00820EE6"/>
    <w:rsid w:val="00824914"/>
    <w:rsid w:val="0083298C"/>
    <w:rsid w:val="0083796C"/>
    <w:rsid w:val="00852E43"/>
    <w:rsid w:val="008647B8"/>
    <w:rsid w:val="008668BC"/>
    <w:rsid w:val="0087217C"/>
    <w:rsid w:val="00874B6C"/>
    <w:rsid w:val="008755F2"/>
    <w:rsid w:val="008907BF"/>
    <w:rsid w:val="00894AA1"/>
    <w:rsid w:val="008A23AF"/>
    <w:rsid w:val="008B0F30"/>
    <w:rsid w:val="008B2ECC"/>
    <w:rsid w:val="008B4877"/>
    <w:rsid w:val="008B6ED2"/>
    <w:rsid w:val="008D0160"/>
    <w:rsid w:val="008D201F"/>
    <w:rsid w:val="008D598E"/>
    <w:rsid w:val="008E33DD"/>
    <w:rsid w:val="008E68D6"/>
    <w:rsid w:val="00903FF4"/>
    <w:rsid w:val="009049A6"/>
    <w:rsid w:val="00922479"/>
    <w:rsid w:val="0093286D"/>
    <w:rsid w:val="009522F7"/>
    <w:rsid w:val="00955102"/>
    <w:rsid w:val="00956D60"/>
    <w:rsid w:val="009720DE"/>
    <w:rsid w:val="0097287F"/>
    <w:rsid w:val="00974E8C"/>
    <w:rsid w:val="00996B99"/>
    <w:rsid w:val="009A1D66"/>
    <w:rsid w:val="009A2213"/>
    <w:rsid w:val="009A735F"/>
    <w:rsid w:val="009E0546"/>
    <w:rsid w:val="00A03680"/>
    <w:rsid w:val="00A12619"/>
    <w:rsid w:val="00A2193F"/>
    <w:rsid w:val="00A22A7C"/>
    <w:rsid w:val="00A250C5"/>
    <w:rsid w:val="00A258C6"/>
    <w:rsid w:val="00A34267"/>
    <w:rsid w:val="00A3606C"/>
    <w:rsid w:val="00A379DF"/>
    <w:rsid w:val="00A62276"/>
    <w:rsid w:val="00A75BA9"/>
    <w:rsid w:val="00A83021"/>
    <w:rsid w:val="00A9168E"/>
    <w:rsid w:val="00A919A0"/>
    <w:rsid w:val="00AA1ADB"/>
    <w:rsid w:val="00AB074C"/>
    <w:rsid w:val="00AB5D46"/>
    <w:rsid w:val="00AC0319"/>
    <w:rsid w:val="00AC5B81"/>
    <w:rsid w:val="00AD09A3"/>
    <w:rsid w:val="00AD4D03"/>
    <w:rsid w:val="00AD7B17"/>
    <w:rsid w:val="00AE7584"/>
    <w:rsid w:val="00AF3787"/>
    <w:rsid w:val="00AF41FF"/>
    <w:rsid w:val="00AF6866"/>
    <w:rsid w:val="00B20A8C"/>
    <w:rsid w:val="00B34D23"/>
    <w:rsid w:val="00B3681B"/>
    <w:rsid w:val="00B423E0"/>
    <w:rsid w:val="00B4403F"/>
    <w:rsid w:val="00B61220"/>
    <w:rsid w:val="00B672B2"/>
    <w:rsid w:val="00B71D8E"/>
    <w:rsid w:val="00B7453C"/>
    <w:rsid w:val="00B90FCC"/>
    <w:rsid w:val="00B92F9C"/>
    <w:rsid w:val="00BA7403"/>
    <w:rsid w:val="00BA7D38"/>
    <w:rsid w:val="00BB31A0"/>
    <w:rsid w:val="00BC32DC"/>
    <w:rsid w:val="00BD56E6"/>
    <w:rsid w:val="00BE283C"/>
    <w:rsid w:val="00BE7365"/>
    <w:rsid w:val="00BF000E"/>
    <w:rsid w:val="00BF6701"/>
    <w:rsid w:val="00C26351"/>
    <w:rsid w:val="00C3211C"/>
    <w:rsid w:val="00C37DB6"/>
    <w:rsid w:val="00C37F7D"/>
    <w:rsid w:val="00C40800"/>
    <w:rsid w:val="00C41519"/>
    <w:rsid w:val="00C423CF"/>
    <w:rsid w:val="00C77B6C"/>
    <w:rsid w:val="00C84CE7"/>
    <w:rsid w:val="00C95864"/>
    <w:rsid w:val="00CA155F"/>
    <w:rsid w:val="00CC094F"/>
    <w:rsid w:val="00CC2F50"/>
    <w:rsid w:val="00CD1C69"/>
    <w:rsid w:val="00CD317A"/>
    <w:rsid w:val="00CD61AE"/>
    <w:rsid w:val="00D022A9"/>
    <w:rsid w:val="00D10AE4"/>
    <w:rsid w:val="00D165A2"/>
    <w:rsid w:val="00D21B5A"/>
    <w:rsid w:val="00D24766"/>
    <w:rsid w:val="00D44331"/>
    <w:rsid w:val="00D71634"/>
    <w:rsid w:val="00D91EBC"/>
    <w:rsid w:val="00D9218C"/>
    <w:rsid w:val="00DA4FEB"/>
    <w:rsid w:val="00DB788B"/>
    <w:rsid w:val="00DE11BD"/>
    <w:rsid w:val="00DE2550"/>
    <w:rsid w:val="00DF3B2F"/>
    <w:rsid w:val="00E035B3"/>
    <w:rsid w:val="00E14844"/>
    <w:rsid w:val="00E5566E"/>
    <w:rsid w:val="00E625FD"/>
    <w:rsid w:val="00E62F4D"/>
    <w:rsid w:val="00E745DB"/>
    <w:rsid w:val="00E74833"/>
    <w:rsid w:val="00E851D6"/>
    <w:rsid w:val="00E8675D"/>
    <w:rsid w:val="00E910F6"/>
    <w:rsid w:val="00EA2604"/>
    <w:rsid w:val="00EA7F1B"/>
    <w:rsid w:val="00EF21E4"/>
    <w:rsid w:val="00EF2279"/>
    <w:rsid w:val="00EF6A56"/>
    <w:rsid w:val="00F0117E"/>
    <w:rsid w:val="00F05D22"/>
    <w:rsid w:val="00F15452"/>
    <w:rsid w:val="00F270CC"/>
    <w:rsid w:val="00F3611B"/>
    <w:rsid w:val="00F529B5"/>
    <w:rsid w:val="00F5540E"/>
    <w:rsid w:val="00F56A6D"/>
    <w:rsid w:val="00F56E78"/>
    <w:rsid w:val="00F63D5D"/>
    <w:rsid w:val="00F84C3B"/>
    <w:rsid w:val="00FB1DEC"/>
    <w:rsid w:val="00FC4DD0"/>
    <w:rsid w:val="00FE3124"/>
    <w:rsid w:val="00FE7CD7"/>
    <w:rsid w:val="00FF06E4"/>
    <w:rsid w:val="00FF7645"/>
    <w:rsid w:val="00FF7C5E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15CEA9-2937-4354-BD0B-384A456E3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" w:qFormat="1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0CC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spacing w:before="200"/>
      <w:ind w:left="1440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3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4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AB074C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AB074C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AB074C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AB074C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AB074C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AB074C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AB074C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AB074C"/>
    <w:pPr>
      <w:ind w:left="2160" w:hanging="240"/>
    </w:pPr>
  </w:style>
  <w:style w:type="paragraph" w:styleId="TOC1">
    <w:name w:val="toc 1"/>
    <w:basedOn w:val="Normal"/>
    <w:next w:val="Normal"/>
    <w:autoRedefine/>
    <w:semiHidden/>
    <w:rsid w:val="00AB074C"/>
  </w:style>
  <w:style w:type="paragraph" w:styleId="TOC2">
    <w:name w:val="toc 2"/>
    <w:basedOn w:val="Normal"/>
    <w:next w:val="Normal"/>
    <w:autoRedefine/>
    <w:semiHidden/>
    <w:rsid w:val="00AB074C"/>
    <w:pPr>
      <w:ind w:left="240"/>
    </w:pPr>
  </w:style>
  <w:style w:type="paragraph" w:styleId="TOC3">
    <w:name w:val="toc 3"/>
    <w:basedOn w:val="Normal"/>
    <w:next w:val="Normal"/>
    <w:autoRedefine/>
    <w:semiHidden/>
    <w:rsid w:val="00AB074C"/>
    <w:pPr>
      <w:ind w:left="480"/>
    </w:pPr>
  </w:style>
  <w:style w:type="paragraph" w:styleId="TOC4">
    <w:name w:val="toc 4"/>
    <w:basedOn w:val="Normal"/>
    <w:next w:val="Normal"/>
    <w:autoRedefine/>
    <w:semiHidden/>
    <w:rsid w:val="00AB074C"/>
    <w:pPr>
      <w:ind w:left="720"/>
    </w:pPr>
  </w:style>
  <w:style w:type="paragraph" w:styleId="TOC5">
    <w:name w:val="toc 5"/>
    <w:basedOn w:val="Normal"/>
    <w:next w:val="Normal"/>
    <w:autoRedefine/>
    <w:semiHidden/>
    <w:rsid w:val="00AB074C"/>
    <w:pPr>
      <w:ind w:left="960"/>
    </w:pPr>
  </w:style>
  <w:style w:type="paragraph" w:styleId="TOC6">
    <w:name w:val="toc 6"/>
    <w:basedOn w:val="Normal"/>
    <w:next w:val="Normal"/>
    <w:autoRedefine/>
    <w:semiHidden/>
    <w:rsid w:val="00AB074C"/>
    <w:pPr>
      <w:ind w:left="1200"/>
    </w:pPr>
  </w:style>
  <w:style w:type="paragraph" w:styleId="TOC7">
    <w:name w:val="toc 7"/>
    <w:basedOn w:val="Normal"/>
    <w:next w:val="Normal"/>
    <w:autoRedefine/>
    <w:semiHidden/>
    <w:rsid w:val="00AB074C"/>
    <w:pPr>
      <w:ind w:left="1440"/>
    </w:pPr>
  </w:style>
  <w:style w:type="paragraph" w:styleId="TOC8">
    <w:name w:val="toc 8"/>
    <w:basedOn w:val="Normal"/>
    <w:next w:val="Normal"/>
    <w:autoRedefine/>
    <w:semiHidden/>
    <w:rsid w:val="00AB074C"/>
    <w:pPr>
      <w:ind w:left="1680"/>
    </w:pPr>
  </w:style>
  <w:style w:type="paragraph" w:styleId="TOC9">
    <w:name w:val="toc 9"/>
    <w:basedOn w:val="Normal"/>
    <w:next w:val="Normal"/>
    <w:autoRedefine/>
    <w:semiHidden/>
    <w:rsid w:val="00AB074C"/>
    <w:pPr>
      <w:ind w:left="1920"/>
    </w:pPr>
  </w:style>
  <w:style w:type="paragraph" w:styleId="NormalIndent">
    <w:name w:val="Normal Indent"/>
    <w:basedOn w:val="Normal"/>
    <w:semiHidden/>
    <w:rsid w:val="00AB074C"/>
    <w:pPr>
      <w:ind w:left="720"/>
    </w:pPr>
  </w:style>
  <w:style w:type="paragraph" w:styleId="FootnoteText">
    <w:name w:val="footnote text"/>
    <w:basedOn w:val="Normal"/>
    <w:link w:val="FootnoteTextChar"/>
    <w:semiHidden/>
    <w:rsid w:val="00AB074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rPr>
      <w:rFonts w:ascii="Arial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AB074C"/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semiHidden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ind w:left="240" w:hanging="240"/>
    </w:p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spacing w:before="120"/>
    </w:pPr>
    <w:rPr>
      <w:rFonts w:ascii="Arial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ind w:left="720" w:hanging="360"/>
    </w:pPr>
  </w:style>
  <w:style w:type="paragraph" w:styleId="List3">
    <w:name w:val="List 3"/>
    <w:basedOn w:val="Normal"/>
    <w:uiPriority w:val="5"/>
    <w:semiHidden/>
    <w:rsid w:val="00AB074C"/>
    <w:pPr>
      <w:ind w:left="1080" w:hanging="360"/>
    </w:pPr>
  </w:style>
  <w:style w:type="paragraph" w:styleId="List4">
    <w:name w:val="List 4"/>
    <w:basedOn w:val="Normal"/>
    <w:uiPriority w:val="5"/>
    <w:semiHidden/>
    <w:rsid w:val="00AB074C"/>
    <w:pPr>
      <w:ind w:left="1440" w:hanging="360"/>
    </w:pPr>
  </w:style>
  <w:style w:type="paragraph" w:styleId="List5">
    <w:name w:val="List 5"/>
    <w:basedOn w:val="Normal"/>
    <w:uiPriority w:val="5"/>
    <w:semiHidden/>
    <w:rsid w:val="00AB074C"/>
    <w:pPr>
      <w:ind w:left="1800" w:hanging="360"/>
    </w:p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2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2"/>
      </w:numPr>
    </w:pPr>
  </w:style>
  <w:style w:type="paragraph" w:styleId="ListBullet4">
    <w:name w:val="List Bullet 4"/>
    <w:basedOn w:val="Normal"/>
    <w:uiPriority w:val="5"/>
    <w:semiHidden/>
    <w:rsid w:val="00AB074C"/>
    <w:pPr>
      <w:numPr>
        <w:numId w:val="3"/>
      </w:numPr>
    </w:pPr>
  </w:style>
  <w:style w:type="paragraph" w:styleId="ListBullet5">
    <w:name w:val="List Bullet 5"/>
    <w:basedOn w:val="Normal"/>
    <w:uiPriority w:val="5"/>
    <w:semiHidden/>
    <w:rsid w:val="00AB074C"/>
    <w:pPr>
      <w:numPr>
        <w:numId w:val="4"/>
      </w:numPr>
    </w:p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5"/>
      </w:numPr>
    </w:pPr>
  </w:style>
  <w:style w:type="paragraph" w:styleId="ListNumber3">
    <w:name w:val="List Number 3"/>
    <w:basedOn w:val="Normal"/>
    <w:uiPriority w:val="5"/>
    <w:semiHidden/>
    <w:rsid w:val="00AB074C"/>
    <w:pPr>
      <w:numPr>
        <w:numId w:val="6"/>
      </w:numPr>
    </w:pPr>
  </w:style>
  <w:style w:type="paragraph" w:styleId="ListNumber4">
    <w:name w:val="List Number 4"/>
    <w:basedOn w:val="Normal"/>
    <w:uiPriority w:val="5"/>
    <w:semiHidden/>
    <w:rsid w:val="00AB074C"/>
    <w:pPr>
      <w:numPr>
        <w:numId w:val="7"/>
      </w:numPr>
    </w:pPr>
  </w:style>
  <w:style w:type="paragraph" w:styleId="ListNumber5">
    <w:name w:val="List Number 5"/>
    <w:basedOn w:val="Normal"/>
    <w:uiPriority w:val="5"/>
    <w:semiHidden/>
    <w:rsid w:val="00AB074C"/>
    <w:pPr>
      <w:numPr>
        <w:numId w:val="8"/>
      </w:numPr>
    </w:pPr>
  </w:style>
  <w:style w:type="paragraph" w:styleId="Closing">
    <w:name w:val="Closing"/>
    <w:basedOn w:val="Normal"/>
    <w:link w:val="ClosingChar"/>
    <w:semiHidden/>
    <w:rsid w:val="00AB074C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spacing w:after="120"/>
      <w:ind w:left="720"/>
    </w:pPr>
  </w:style>
  <w:style w:type="paragraph" w:styleId="ListContinue3">
    <w:name w:val="List Continue 3"/>
    <w:basedOn w:val="Normal"/>
    <w:uiPriority w:val="6"/>
    <w:semiHidden/>
    <w:rsid w:val="00AB074C"/>
    <w:pPr>
      <w:spacing w:after="120"/>
      <w:ind w:left="1080"/>
    </w:pPr>
  </w:style>
  <w:style w:type="paragraph" w:styleId="ListContinue4">
    <w:name w:val="List Continue 4"/>
    <w:basedOn w:val="Normal"/>
    <w:uiPriority w:val="6"/>
    <w:semiHidden/>
    <w:rsid w:val="00AB074C"/>
    <w:pPr>
      <w:spacing w:after="120"/>
      <w:ind w:left="1440"/>
    </w:pPr>
  </w:style>
  <w:style w:type="paragraph" w:styleId="ListContinue5">
    <w:name w:val="List Continue 5"/>
    <w:basedOn w:val="Normal"/>
    <w:uiPriority w:val="6"/>
    <w:semiHidden/>
    <w:rsid w:val="00AB074C"/>
    <w:pPr>
      <w:spacing w:after="120"/>
      <w:ind w:left="1800"/>
    </w:p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9"/>
      </w:numPr>
    </w:pPr>
  </w:style>
  <w:style w:type="numbering" w:styleId="111111">
    <w:name w:val="Outline List 2"/>
    <w:basedOn w:val="NoList"/>
    <w:semiHidden/>
    <w:rsid w:val="00AB074C"/>
    <w:pPr>
      <w:numPr>
        <w:numId w:val="10"/>
      </w:numPr>
    </w:pPr>
  </w:style>
  <w:style w:type="numbering" w:styleId="ArticleSection">
    <w:name w:val="Outline List 3"/>
    <w:basedOn w:val="NoList"/>
    <w:semiHidden/>
    <w:rsid w:val="00AB074C"/>
    <w:pPr>
      <w:numPr>
        <w:numId w:val="11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MemoHeader">
    <w:name w:val="Memo Header"/>
    <w:uiPriority w:val="99"/>
    <w:semiHidden/>
    <w:rsid w:val="00F270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FF5B1-A6E8-4DCE-8EAA-A7F30B9A7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3095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Gogonas</dc:creator>
  <cp:keywords/>
  <dc:description/>
  <cp:lastModifiedBy>Nemer, Richard</cp:lastModifiedBy>
  <cp:revision>5</cp:revision>
  <cp:lastPrinted>2019-01-31T21:12:00Z</cp:lastPrinted>
  <dcterms:created xsi:type="dcterms:W3CDTF">2019-01-31T17:24:00Z</dcterms:created>
  <dcterms:modified xsi:type="dcterms:W3CDTF">2019-01-31T21:23:00Z</dcterms:modified>
</cp:coreProperties>
</file>